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UWAGA! PRZED WYPE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ŁNIENIEM NALEŻY DOKŁADNIE ZAPOZNAĆ SIĘ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Z POUCZENIAMI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495"/>
        <w:gridCol w:w="1478"/>
        <w:gridCol w:w="907"/>
        <w:gridCol w:w="448"/>
        <w:gridCol w:w="2944"/>
        <w:gridCol w:w="1714"/>
      </w:tblGrid>
      <w:tr>
        <w:trPr>
          <w:trHeight w:val="1" w:hRule="atLeast"/>
          <w:jc w:val="left"/>
        </w:trPr>
        <w:tc>
          <w:tcPr>
            <w:tcW w:w="7328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WNIOSEK O WSZCZ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ĘCIE EGZEKUCJI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Data wp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ływu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(wype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łnia komornik)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28" w:type="dxa"/>
            <w:gridSpan w:val="4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Wniosek nale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 wypełnić czytelnie, dokonując wpisów bez skreśleń i poprawek.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Ka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żdą rubrykę niezacieniowaną należy wypełnić albo skreślić. Jeśli po wpisaniu treści w rubryce pozostało wolne miejsce, należy je skreślić w sposób uniemożliwiający dopisywanie.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Do wniosku nale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 dołączyć załączniki.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 przypadku gdy tre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ść nie mieści się w odpowiednich rubrykach, ciąg dalszy zamieszcza się na kolejnych, ponumerowanych kartach formatu A4, ze wskazaniem uzupełnianej rubryki. Pod dodaną do wniosku treścią należy złożyć podpis.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Je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żeli w rubryce występuje tekst oznaczony znakiem *, to należy niepotrzebne skreślić.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 Komornik s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ądowy, do którego jest składany wniosek o wszczęcie egzekucji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1.1. S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ąd rejonowy, przy którym działa komornik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1.2. Imi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komornika oraz adres kancelarii komorniczej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29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 Wierzyciel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2.1. Imi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lub nazwa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2.2. Miejsce zamieszkania lub siedziby wierzyciela i adres (mo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żna dodatkowo podać numer telefonu lub adres poczty elektronicznej)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2.3. Numer PESEL lub NIP wierzyciela b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ędącego osobą fizyczną, a jeżeli wierzyciel nie jest osobą fizyczną, należy wskazać jego numer w Krajowym Rejestrze Sądowym, a w razie jego braku - numer w innym właściwym rejestrze, ewidencji lub NIP, o ile wierzyciel jest obowiązany do jego posiadania.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2.4. Adres wierzyciela do dor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2.5. Numer rachunku lub numery rachunków, na które nale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 przekazać wyegzekwowane środki pieniężne. Można też podać dodatkowe dane potrzebne do przelewu. W razie niewskazania numeru rachunku środki pieniężne będą przekazywane przekazem pocztowym.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3.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Przedstawiciel ustawowy wierzyciela.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Pe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łnomocnik wierzyciela (należy wypełnić, gdy wniosek składa przedstawiciel ustawowy lub pełnomocnik wierzyciela)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3.1. Imi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lub nazwa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49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3.2. Adres do dor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ęczeń, jeżeli jest inny niż wskazany w rubryce 2.2. lub 2.4. (można dodatkowo podać numer telefonu lub adres poczty elektronicznej)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 D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łużnik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4.1. Imi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lub nazwa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4.2. Miejsce zamieszkania lub siedziby 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- numer dłużnika w Krajowym Rejestrze Sądowym, a w razie jego braku - numer w innym właściwym rejestrze, ewidencji lub NIP, o ile numery te są znane wierzycielowi.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 Dochodzona wierzytelno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5.1. Tytu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 wykonawczy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5.1.1. Oznaczenie tytu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łu egzekucyjnego.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Nale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ży wskazać rodzaj tytułu (np. wyrok, postanowienie, nakaz zapłaty, ugoda, akt notarialny), organ lub podmiot, który wystawił tytuł, datę jego wydania lub sporządzenia oraz sygnaturę lub numer.</w:t>
            </w:r>
          </w:p>
        </w:tc>
        <w:tc>
          <w:tcPr>
            <w:tcW w:w="749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5.1.2. Informacje dotycz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 klauzuli wykonalności.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Należy wskazać sąd, który nadał klauzulę wykonalności, datę postanowienia oraz sygnaturę akt sprawy, jeżeli jest inna niż sygnatura tytułu egzekucyjnego.</w:t>
            </w: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5.2. Wnosz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o wyegzekwowanie następujących należności pieniężnych: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5.2.1. Nale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żność główna: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5.2.2. Odsetki: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rodzaj odsetek (ustawowe, ustawowe za opó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źnienie, ustawowe za opóźnienie w transakcjach handlowych, umowne, jak dla zaległości podatkowych*) kwota, od której mają być naliczane odsetki: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za okres od dnia do dnia ..................................... do dnia 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5.2.3. Koszty post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ępowania sądowego: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5.2.4. Koszty post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ępowania klauzulowego: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5.2.5. Pozosta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łe należności (wskazać rodzaj i wysokość):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5.3. Wnosz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o wyegzekwowanie następujących świadczeń niepieniężnych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 (należy wypełnić tylko w przypadku dochodzenia tego rodzaju świadczenia)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5.3.1. Opis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świadczenia.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 przypadku egzekucji świadczeń niepieniężnych, należy podać, jakie świadczenie lub świadczenia mają zostać wyegzekwowane zgodnie z treścią tytułu wykonawczego (np. wydanie rzeczy, opróżnienie lokalu).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 Sk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ładniki majątkowe dłużnika, z których prowadzona ma być egzekucja świadczeń pieniężnych.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6.1.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Nieruchomo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ść dłużnika 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6.2. Inne sk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ładniki majątkowe dłużnika, z których ma być prowadzona egzekucja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(można oznaczyć rodzajowo składniki majątkowe dłużnika, z których ma być prowadzona egzekucja, np. z rachunku bankowego lub z rachunku w spółdzielczej kasie oszczędnościowo-kredytowej lub z wynagrodzenia za pracę; w miarę możliwości należy podać dane umożliwiające identyfikację wskazanych składników majątkowych, np. w razie wskazania ruchomości dłużnika można je wymienić i wskazać miejsce, w którym się znajdują, w razie wynagrodzenia za pracę, podać dane pracodawcy, a w przypadku egzekucji z rachunku bankowego lub z rachunku w spółdzielczej kasie oszczędnościowo-kredytowej - podać nazwę banku lub spółdzielczej kasy oszczędnościowo-kredytowej, w której jest prowadzony rachunek dłużnika):</w:t>
            </w: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6.3.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Żądam przeprowadzenia egzekucji wyłącznie z wymienionych wyżej składników majątkowych: tak / nie*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 Za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łączniki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(należy wymienić wszystkie dokumenty dołączone do wniosku)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7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1) tytu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 wykonawczy,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2) pe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łnomocnictwo (o ile został ustanowiony pełnomocnik) wraz z dowodem uiszczenia opłaty skarbowej, 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3) dokument lub dokumenty wykazuj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ące umocowanie do działania w imieniu wierzyciela niebędącego osobą fizyczną,*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4)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o wyborze komornika,*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5) inne (poda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ć jakie): 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68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8. Imi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  <w:t xml:space="preserve">(czytelne) osoby lub osób składających wniosek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oraz podpis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9. Miejscowo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 i data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8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240" w:after="24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POUCZENIE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</w:t>
        <w:tab/>
        <w:t xml:space="preserve">Formularze 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dostępne w kancelariach komorniczych, budynkach sądów rejonowych i okręgowych oraz w Internecie pod adresami www.ms.gov.pl, www.komornik.pl oraz na stronach internetowych sądów rejonowych, sądów okręgowych i kancelarii komorniczych.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2.</w:t>
        <w:tab/>
        <w:t xml:space="preserve">Wniosek nie musi by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ć złożony na formularzu (art. 796 § 1 zd. 2 k.p.c.).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3.</w:t>
        <w:tab/>
        <w:t xml:space="preserve">Wniosek nale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ży złożyć w kancelarii właściwego komornika albo przesłać za pośrednictwem operatora pocztowego (pocztą) do kancelarii tego komornika. Zgodnie z art. 165 § 2 k.p.c. w zw. z art. 13 § 2 k.p.c.,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4.</w:t>
        <w:tab/>
        <w:t xml:space="preserve">Niezachowanie warunków formalnych pisma, które uniemo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żliwia nadanie mu dalszego biegu, powoduje wezwanie do uzupełnienia braków pisma (art. 130 § 1 k.p.c. w zw. z art. 13 § 2 k.p.c.).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5.</w:t>
        <w:tab/>
        <w:t xml:space="preserve">Wniosek sk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łada się do komornika sądowego, który ma prowadzić egzekucję. Właściwość komornika wynika z przepisów Kodeksu postępowania cywilnego.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6.</w:t>
        <w:tab/>
        <w:t xml:space="preserve">Wierzyciel ma prawo wyboru komornika na obszarze w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łaściwości sądu apelacyjnego. W takim przypadku do wniosku należy dołączyć pisemne oświadczenie o wyborze komornika (art. 10 ust. 3 ustawy z dnia 22 marca 2018 r. o komornikach sądowych).</w:t>
      </w:r>
    </w:p>
    <w:p>
      <w:pPr>
        <w:tabs>
          <w:tab w:val="left" w:pos="425" w:leader="none"/>
        </w:tabs>
        <w:spacing w:before="0" w:after="0" w:line="240"/>
        <w:ind w:right="0" w:left="425" w:hanging="425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7.</w:t>
        <w:tab/>
        <w:t xml:space="preserve">Zgodnie z art. 10 ust. 1 ustawy z dnia 22 marca 2018 r. o komornikach 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ądowych, wybór komornika jest wyłączony w sprawach o egzekucję z nieruchomości, wydanie nieruchomości, wprowadzenie w posiadanie nieruchomości, opróżnienie pomieszczeń, w tym lokali mieszkalnych, z osób lub rzeczy oraz w sprawach, w których przepisy o egzekucji z nieruchomości stosuje się odpowiednio (np. w razie egzekucji z użytkowania wieczystego albo spółdzielczego własnościowego prawa do lokalu mieszkalnego). Do prowadzenia egzekucji w takich sprawach wyłącznie właściwy jest komornik działający przy sądzie rejonowym, w którego okręgu jest położona nieruchomość.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